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БЕЛГОРОДСКАЯ ОБЛАСТЬ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ЧЕРНЯНСКИЙ РАЙОН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315010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afterAutospacing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КОЧЕГУРЕНСКОГО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СЕЛЬСКОГО ПОСЕЛЕНИЯ МУНИЦИПАЛЬНОГО РАЙОНА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"ЧЕРНЯНСКИЙ РАЙОН"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</w:r>
    </w:p>
    <w:p>
      <w:pPr>
        <w:jc w:val="center"/>
        <w:spacing w:after="0" w:afterAutospacing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 С Т А Н О В Л Е Н И 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t xml:space="preserve">Кочегуры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hanging="751"/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8»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марта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2025 г.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 постановление администрации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Кочегуренского сельского поселения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«Чернянский район» Белгородской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от 2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декабря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4 года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№ 38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«Устойчивое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развитие сельских территорий Кочегуренского сельского поселения Чернянского района Белгородской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/>
    </w:p>
    <w:p>
      <w:pPr>
        <w:spacing w:after="0" w:afterAutospacing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статьей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программы Кочегуренского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«Устойчивое развитие сельских территорий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Кочегуренского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Чернянского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Белгородской области», администрация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Кочегуренского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Чернянский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я е 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Муниципальную программу «Устойчивое развитие сельских территорий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Кочегуренского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Чернянского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утвержденную постановлением администрации Кочегуренского сельского поселения от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г. № 38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изложить в новой редакции (прилагается)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</w:rPr>
        <w:t xml:space="preserve">Настоящее постановление опубликовать </w:t>
      </w:r>
      <w:r>
        <w:rPr>
          <w:rFonts w:ascii="Times New Roman" w:hAnsi="Times New Roman"/>
          <w:sz w:val="28"/>
        </w:rPr>
        <w:t xml:space="preserve">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/>
          <w:sz w:val="28"/>
        </w:rPr>
        <w:t xml:space="preserve">Кочегуренского</w:t>
      </w:r>
      <w:r>
        <w:rPr>
          <w:rFonts w:ascii="Times New Roman" w:hAnsi="Times New Roman"/>
          <w:sz w:val="28"/>
        </w:rPr>
        <w:t xml:space="preserve"> сельского поселения и на официальном сайте органов местного самоупра</w:t>
      </w:r>
      <w:r>
        <w:rPr>
          <w:rFonts w:ascii="Times New Roman" w:hAnsi="Times New Roman"/>
          <w:sz w:val="28"/>
        </w:rPr>
        <w:t xml:space="preserve">вления </w:t>
      </w:r>
      <w:r>
        <w:rPr>
          <w:rFonts w:ascii="Times New Roman" w:hAnsi="Times New Roman"/>
          <w:sz w:val="28"/>
        </w:rPr>
        <w:t xml:space="preserve">Кочегуренского</w:t>
      </w:r>
      <w:r>
        <w:rPr>
          <w:rFonts w:ascii="Times New Roman" w:hAnsi="Times New Roman"/>
          <w:sz w:val="28"/>
        </w:rPr>
        <w:t xml:space="preserve">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10" w:tooltip="https://kochegury-r31.gosweb.gosuslugi.ru" w:history="1">
        <w:r>
          <w:rPr>
            <w:rStyle w:val="90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https://kochegury-r31.gosweb.gosuslugi.ru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sz w:val="28"/>
        </w:rPr>
        <w:t xml:space="preserve">в порядке, предусмотренном Уставом </w:t>
      </w:r>
      <w:r>
        <w:rPr>
          <w:rFonts w:ascii="Times New Roman" w:hAnsi="Times New Roman"/>
          <w:sz w:val="28"/>
        </w:rPr>
        <w:t xml:space="preserve">Кочегуренского</w:t>
      </w:r>
      <w:r>
        <w:rPr>
          <w:rFonts w:ascii="Times New Roman" w:hAnsi="Times New Roman"/>
          <w:sz w:val="28"/>
        </w:rPr>
        <w:t xml:space="preserve"> сельского поселения.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  <w:tab w:val="right" w:pos="7938" w:leader="none"/>
          <w:tab w:val="right" w:pos="963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оставляю за собой.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97" w:firstLine="0"/>
        <w:jc w:val="both"/>
        <w:spacing w:after="0" w:afterAutospacing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97" w:firstLine="0"/>
        <w:jc w:val="both"/>
        <w:spacing w:after="0" w:afterAutospacing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tabs>
          <w:tab w:val="left" w:pos="7155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850" w:right="680" w:bottom="850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Кочегуренского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льского поселения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С.А. Сухин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Реестр документов, входящих в состав муниципальной программы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29"/>
        <w:tblW w:w="5000" w:type="pct"/>
        <w:jc w:val="center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2"/>
        <w:gridCol w:w="2945"/>
        <w:gridCol w:w="2739"/>
        <w:gridCol w:w="1765"/>
        <w:gridCol w:w="1767"/>
        <w:gridCol w:w="2378"/>
        <w:gridCol w:w="2600"/>
      </w:tblGrid>
      <w:tr>
        <w:tblPrEx/>
        <w:trPr>
          <w:jc w:val="center"/>
          <w:trHeight w:val="22"/>
        </w:trPr>
        <w:tc>
          <w:tcPr>
            <w:tcW w:w="43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Тип документа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 документа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Реквизиты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Разработчик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Гиперссылка на текст документа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2"/>
        </w:trPr>
        <w:tc>
          <w:tcPr>
            <w:tcW w:w="43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7"/>
            <w:tcW w:w="14626" w:type="dxa"/>
            <w:vAlign w:val="center"/>
            <w:textDirection w:val="lrTb"/>
            <w:noWrap/>
          </w:tcPr>
          <w:p>
            <w:pPr>
              <w:pStyle w:val="719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программа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Устойчивое развитие сельских территорий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719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Чернянского района Белгородской области»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3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муниципальной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7"/>
            <w:tcW w:w="1462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 «Реализация мероприятий по благоустройству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3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3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Сведение о порядке сбора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6" w:orient="landscape"/>
          <w:pgMar w:top="1134" w:right="1134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142"/>
        <w:jc w:val="right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Приложение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left="142"/>
        <w:jc w:val="right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left="142"/>
        <w:jc w:val="right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Кочегуренского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left="142"/>
        <w:jc w:val="right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от «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28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марта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 2024 года №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left="142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highlight w:val="none"/>
        </w:rPr>
      </w:r>
    </w:p>
    <w:p>
      <w:pPr>
        <w:ind w:left="142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МУНИЦИПАЛЬНАЯ ПРОГРАММА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«УСТОЙЧИВОЕ РАЗВИТИЕ СЕЛЬСКИХ ТЕРРИТОРИИЙ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КОЧЕГУРЕНСКОГО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ЧЕРНЯНСКОГО РАЙОНА БЕЛГОРОДСКОЙ ОБЛАСТИ»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ff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ff0000" w:themeColor="text1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Кочегуренского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Чернянского района Белгородской области»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color w:val="ff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 w:themeColor="text1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1.1. Оценка текущего состояния социального-экономического развития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Кочегуренского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Кочегуренское сельское поселение расположено на северо-западной окраине Чернянского района, с центром поселения в селе Кочегуры.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Граница сельского поселения утверждена Законом Белгородской области «Об установлении границ муниципальных образований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 Кочегуренское сельское поселение  расположено в 25 км к северо-западу  п. Чернянка и в 120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от областного центра – г. Белгород. Западная граница Кочегуренского сельского поселения совпадает с границами Чернянского района и с Губкинским районом. Далее границы проходят по сельским поселениям Чернянского района. На  востоке Кочегуренское сельское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поселение граничит с Ольшанским сельским поселением, на севере – с Огибнянским сельским поселениям, на юге - с Прилепенским и Лозновским  сельскими поселениями.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состав Кочегуренского сельского поселения входят 5 населенных пунктов - это поселок Красная Поляна, поселок Красная Звезда, село Сухая Ольшанка,  село Проточное, село Кочегуры.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Кочегуренское сельское поселение представляет собой территорию общей площадью 7986 га, на которой проживает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1152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человек.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Демографическая ситуация в сельском поселении в целом характеризуется убылью населения.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Улучшению демографической ситуации будет способствовать повышение качества жизни населения.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Согласно Федерального закона от 06.10.2003 года № 131 -ФЗ «Об общих принципах организации местного самоуправления Российской Федерации» и Устава Кочегуренского сельского поселения структуру органов местного самоуправления составляют: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администрация сельского поселения;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-земское собрание сельского поселения, состоящее из 10 депутатов.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Экономическую основу сельского поселения составляет сельское хозяйство.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</w:r>
    </w:p>
    <w:p>
      <w:pPr>
        <w:pStyle w:val="767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Транспортная свя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зь сельского поселения с городским поселением «Поселок Чернянка» осуществляется по автодороге регионального значения, которая проходит через Русскохаланское и Ольшанское сельские поселения. Ближайшая железнодорожная станция расположена на расстоянии 25 км.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67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Основу градообразующей базы Кочегуренского сельского поселения составляют 2 производственных объекта - ОАО «Молоко Белогорья», ЗАО Агросоюз «Авида». Аграрный сектор включает также в себя 5 КФХ и 268 личных подсобных хозяйств.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Основными направлениями деятельности крестьянско-фермерских хозяйств является растениеводство - выращивание   зерновых, масленичных  и технических  культур.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Большое количество трудоспособного населения занято в социальной сфере.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pStyle w:val="767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Социальную инфраструктуру поселения образуют: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67"/>
        <w:numPr>
          <w:ilvl w:val="0"/>
          <w:numId w:val="22"/>
        </w:num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Кочегуренский ФАП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67"/>
        <w:numPr>
          <w:ilvl w:val="0"/>
          <w:numId w:val="22"/>
        </w:num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Сухоольшанский ФАП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67"/>
        <w:numPr>
          <w:ilvl w:val="0"/>
          <w:numId w:val="22"/>
        </w:num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МБОУ «СОШ с. Кочегуры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67"/>
        <w:numPr>
          <w:ilvl w:val="0"/>
          <w:numId w:val="22"/>
        </w:num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Детский сад «Чебурашка»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67"/>
        <w:numPr>
          <w:ilvl w:val="0"/>
          <w:numId w:val="22"/>
        </w:num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Отделение связи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67"/>
        <w:numPr>
          <w:ilvl w:val="0"/>
          <w:numId w:val="22"/>
        </w:num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Центральный сельский Дом культуры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67"/>
        <w:numPr>
          <w:ilvl w:val="0"/>
          <w:numId w:val="22"/>
        </w:num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Библиотека с 2-мя читальными залами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67"/>
        <w:numPr>
          <w:ilvl w:val="0"/>
          <w:numId w:val="22"/>
        </w:num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магазина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67"/>
        <w:numPr>
          <w:ilvl w:val="0"/>
          <w:numId w:val="22"/>
        </w:num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Выездная автолавка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всей территории ведется активная работа по ее благоустройству. Все улицы в поселении имеют асфальтовое покрытие. С каждым годом в сельском поселении увеличивается количество благоустроенных уголков.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целях обеспечения экологически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благоприятной среды для проживания населения и улучшения содержания сельской территории, проводятся мероприятия по санитарной очистке и благоустройству. Ежегодно на прилегающих территориях учреждений на клумбах высаживаются цветы и декоративные кустарники.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Регулярно проводится очистка и благоустройство родников.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pStyle w:val="767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территории Кочегуренского сельского поселения функционирует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Дом культуры, библиотека, которая оснащена компьютерами. Читатели имеют возможность получать быструю информацию в интернете по любому интересующему вопросу. Оборудован трен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ажерный зал, спортивный зал. Очень большой интерес вызывают занятия спортом: тренажерный зал еженедельно посещают от 20 до 60 человек, это дети, молодежь и взрослое население. Есть семьи, которые в полном составе укрепляют свое здоровье на тренажерах.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67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Заложен сквер «Центральный», общей площадью 2,3 га, включающий в себя растительность: туи, барбарис, можжевельник, фруктовые деревья, цветники.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7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Установлено ограждение 3-х кладбищ, 4 автобусных остановки, восемь  детских площадок. В 2013 году заложен фруктовый сад.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Программа направлена на обеспечение привлекательности сельской территории для комфортного проживания населения и включает в себя увеличение насаждений декоративных растений, содержание в надлежащем 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стоянии территории парков, скверов, детских площадок, мест массового отдыха населения, создания многофункциональной системы зеленых насаждений для оздоровления окружающей среды, улучшение внешнего облика населенных пунктов Большанского сельского поселения.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 целом, благодаря рациональной стратегии руководства области и района, в Кочегуренском сельском поселении созданы благоприятные социально-экономические условия для комфортного проживания.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1.2. Описание приоритетов и целей государственной политики в сфере муниципальной программы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Система целеполагания муниципальной программы включает в себя: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i/>
          <w:strike/>
          <w:color w:val="000000" w:themeColor="text1"/>
          <w:spacing w:val="-2"/>
          <w:sz w:val="16"/>
          <w:szCs w:val="16"/>
          <w:highlight w:val="gree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Цель «Создание благоприятных социально-бытовых условий проживания населения на территории поселения», которая характеризуется достиж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ением показателя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увеличение доли отдыхающих в местах отдыха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2030 году до 95% и  долей посещаемости на детской площадке до 73% в 2030 году.</w:t>
      </w:r>
      <w:r>
        <w:rPr>
          <w:rFonts w:ascii="Times New Roman" w:hAnsi="Times New Roman" w:eastAsia="Times New Roman" w:cs="Times New Roman"/>
          <w:i/>
          <w:strike/>
          <w:color w:val="000000" w:themeColor="text1"/>
          <w:spacing w:val="-2"/>
          <w:sz w:val="28"/>
          <w:szCs w:val="28"/>
          <w:highlight w:val="green"/>
        </w:rPr>
      </w:r>
      <w:r>
        <w:rPr>
          <w:rFonts w:ascii="Times New Roman" w:hAnsi="Times New Roman" w:cs="Times New Roman"/>
          <w:i/>
          <w:strike/>
          <w:color w:val="000000" w:themeColor="text1"/>
          <w:spacing w:val="-2"/>
          <w:sz w:val="16"/>
          <w:szCs w:val="16"/>
          <w:highlight w:val="green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достижения указанной цели в структуре муниципальной программ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 включено направление (подпрограмма) реализации – «Благоустройство Кочегуренского сельского поселения», в рамках которого будет реализовываться комплекс процессных мероприятий «Реализация мероприятий по благоустройству Кочегуренского сельского поселения».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1.3. Сведения о взаимосвязи со стратегическими приоритетами, целями и показателями муниципальной программы Чернянского района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</w:r>
    </w:p>
    <w:p>
      <w:pPr>
        <w:ind w:firstLine="708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года, определенных </w:t>
      </w:r>
      <w:hyperlink r:id="rId11" w:tooltip="https://login.consultant.ru/link/?req=doc&amp;base=LAW&amp;n=357927&amp;date=27.08.2024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2" w:tooltip="https://login.consultant.ru/link/?req=doc&amp;base=LAW&amp;n=398015&amp;date=27.08.2024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плана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firstLine="708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года и на перспективу до 2036 года - «Комфортная и безопасная среда для жизни» и показателей муниципальной программы Чернянского района «Формирование современной городской среды на территории муниципального района «Чернянский район» Белгородской области».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направлению (подпрограмме) «Благоустройство Кочегуренского сельского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поселения» определена ключевая задача «Обеспечение привлекательности сельской местности для комфортного проживания населения», способом эффективного решения данной задачи является организация работ по улучшению качества благоустройства сельского поселения.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pStyle w:val="719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pStyle w:val="719"/>
        <w:ind w:left="108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. Паспорт муниципальной программы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</w:p>
    <w:p>
      <w:pPr>
        <w:pStyle w:val="71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«Устойчивое развитие сельских территорий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Кочегуренского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Чернянского района Белгородской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before="0" w:beforeAutospacing="0"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</w:p>
    <w:p>
      <w:pPr>
        <w:jc w:val="center"/>
        <w:spacing w:before="0" w:beforeAutospacing="0"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1. Основные положения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52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6"/>
        <w:gridCol w:w="5477"/>
        <w:gridCol w:w="5244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Куратор муниципальной 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Сухин С.А. – глава администрации Кочегуренского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ind w:right="232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Соловьева Е.Н. – главный специалист - управляющая делами администрации Кочегуренского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Цель(и) муниципальной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21" w:type="dxa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Создание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Направления (подпрограммы) муниципальной 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vAlign w:val="center"/>
            <w:textDirection w:val="lrTb"/>
            <w:noWrap/>
          </w:tcPr>
          <w:p>
            <w:pPr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Направление (подпрограмма) «Благоустройство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trike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 финансового обеспечения</w:t>
            </w:r>
            <w:r>
              <w:rPr>
                <w:rFonts w:ascii="Times New Roman" w:hAnsi="Times New Roman" w:eastAsia="Times New Roman" w:cs="Times New Roman"/>
                <w:i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trike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Объем финансового обеспечения, тыс.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по муниципальной программе,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9275,2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 межбюджетные трансферты из областного бюджета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стный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9275,2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вне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Нераспределенный резерв (областной бюджет)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с национальными целями / муниципальная программа Чернянского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1.Национальная цель «Комфортная и безопасная среда для жизни».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с целями развития муниципального района «Чернянский район» / стратегическими приоритетами муниципального района «Чернянский район»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Третье стратегическое направление – «Повышение качества условий жизнедеятельности населения»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2. Показатели муниципальной программы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1330"/>
        <w:gridCol w:w="1220"/>
        <w:gridCol w:w="1274"/>
        <w:gridCol w:w="1133"/>
        <w:gridCol w:w="681"/>
        <w:gridCol w:w="565"/>
        <w:gridCol w:w="506"/>
        <w:gridCol w:w="569"/>
        <w:gridCol w:w="584"/>
        <w:gridCol w:w="594"/>
        <w:gridCol w:w="480"/>
        <w:gridCol w:w="558"/>
        <w:gridCol w:w="578"/>
        <w:gridCol w:w="1982"/>
        <w:gridCol w:w="1593"/>
        <w:gridCol w:w="1244"/>
      </w:tblGrid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7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9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Значения показателя по годам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7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за достижение показателя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4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с показателями государственных программ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Чернянского района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</w:tr>
      <w:tr>
        <w:tblPrEx/>
        <w:trPr>
          <w:trHeight w:val="716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0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0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681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6" w:type="dxa"/>
            <w:vAlign w:val="center"/>
            <w:textDirection w:val="lrTb"/>
            <w:noWrap/>
          </w:tcPr>
          <w:p>
            <w:pPr>
              <w:pStyle w:val="76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9" w:type="dxa"/>
            <w:vAlign w:val="center"/>
            <w:textDirection w:val="lrTb"/>
            <w:noWrap/>
          </w:tcPr>
          <w:p>
            <w:pPr>
              <w:pStyle w:val="76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dxa"/>
            <w:vAlign w:val="center"/>
            <w:textDirection w:val="lrTb"/>
            <w:noWrap/>
          </w:tcPr>
          <w:p>
            <w:pPr>
              <w:pStyle w:val="76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dxa"/>
            <w:vAlign w:val="center"/>
            <w:textDirection w:val="lrTb"/>
            <w:noWrap/>
          </w:tcPr>
          <w:p>
            <w:pPr>
              <w:pStyle w:val="76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dxa"/>
            <w:vAlign w:val="center"/>
            <w:textDirection w:val="lrTb"/>
            <w:noWrap/>
          </w:tcPr>
          <w:p>
            <w:pPr>
              <w:pStyle w:val="76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8" w:type="dxa"/>
            <w:vAlign w:val="center"/>
            <w:textDirection w:val="lrTb"/>
            <w:noWrap/>
          </w:tcPr>
          <w:p>
            <w:pPr>
              <w:pStyle w:val="76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8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3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4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</w:tr>
      <w:tr>
        <w:tblPrEx/>
        <w:trPr>
          <w:trHeight w:val="224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68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92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37" w:type="dxa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1. Создание условий для организации благоустройства территории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30" w:type="dxa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отдыхающих в местах отдыха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7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13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8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9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8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3" w:type="dxa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4" w:type="dxa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муниципального района «Чернянский район» Белгородской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</w:tr>
    </w:tbl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3. Помесячный план достижения показателей муниципальной программы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в 2025 году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tbl>
      <w:tblPr>
        <w:tblW w:w="525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5"/>
        <w:gridCol w:w="3817"/>
        <w:gridCol w:w="1670"/>
        <w:gridCol w:w="1887"/>
        <w:gridCol w:w="576"/>
        <w:gridCol w:w="564"/>
        <w:gridCol w:w="37"/>
        <w:gridCol w:w="533"/>
        <w:gridCol w:w="28"/>
        <w:gridCol w:w="398"/>
        <w:gridCol w:w="31"/>
        <w:gridCol w:w="398"/>
        <w:gridCol w:w="28"/>
        <w:gridCol w:w="527"/>
        <w:gridCol w:w="15"/>
        <w:gridCol w:w="555"/>
        <w:gridCol w:w="9"/>
        <w:gridCol w:w="414"/>
        <w:gridCol w:w="12"/>
        <w:gridCol w:w="417"/>
        <w:gridCol w:w="9"/>
        <w:gridCol w:w="417"/>
        <w:gridCol w:w="9"/>
        <w:gridCol w:w="417"/>
        <w:gridCol w:w="40"/>
        <w:gridCol w:w="2087"/>
      </w:tblGrid>
      <w:tr>
        <w:tblPrEx/>
        <w:trPr>
          <w:trHeight w:val="283"/>
          <w:tblHeader/>
        </w:trPr>
        <w:tc>
          <w:tcPr>
            <w:tcW w:w="139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246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545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616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ОКЕИ)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gridSpan w:val="21"/>
            <w:tcW w:w="1773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681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конец 2025 года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</w:r>
          </w:p>
        </w:tc>
      </w:tr>
      <w:tr>
        <w:tblPrEx/>
        <w:trPr>
          <w:trHeight w:val="283"/>
          <w:tblHeader/>
        </w:trPr>
        <w:tc>
          <w:tcPr>
            <w:tcW w:w="139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6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5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6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8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янв.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96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83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gridSpan w:val="2"/>
            <w:tcW w:w="140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77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gridSpan w:val="2"/>
            <w:tcW w:w="184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49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81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3"/>
        </w:trPr>
        <w:tc>
          <w:tcPr>
            <w:tcW w:w="139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5"/>
            <w:tcW w:w="4861" w:type="pct"/>
            <w:vAlign w:val="center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Создание условий для организации благоустройства территории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83"/>
        </w:trPr>
        <w:tc>
          <w:tcPr>
            <w:tcW w:w="139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46" w:type="pct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отдыхающих в местах отдыха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45" w:type="pc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pacing w:val="-2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pacing w:val="-2"/>
                <w:sz w:val="20"/>
              </w:rPr>
            </w:r>
          </w:p>
        </w:tc>
        <w:tc>
          <w:tcPr>
            <w:tcW w:w="616" w:type="pc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88" w:type="pc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84" w:type="pct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86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40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86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38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40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693" w:type="pct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spacing w:after="0" w:afterAutospacing="0" w:line="240" w:lineRule="auto"/>
        <w:tabs>
          <w:tab w:val="left" w:pos="993" w:leader="none"/>
          <w:tab w:val="left" w:pos="5865" w:leader="none"/>
        </w:tabs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eastAsia="Times New Roman" w:cs="Times New Roman"/>
          <w:b/>
          <w:bCs/>
          <w:sz w:val="20"/>
        </w:rPr>
      </w:r>
      <w:r>
        <w:rPr>
          <w:rFonts w:ascii="Times New Roman" w:hAnsi="Times New Roman" w:eastAsia="Times New Roman" w:cs="Times New Roman"/>
          <w:b/>
          <w:bCs/>
          <w:sz w:val="20"/>
        </w:rPr>
      </w:r>
      <w:r>
        <w:rPr>
          <w:rFonts w:ascii="Times New Roman" w:hAnsi="Times New Roman" w:cs="Times New Roman"/>
          <w:b/>
          <w:bCs/>
          <w:sz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  <w:tab w:val="left" w:pos="5865" w:leader="none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4. Структура муниципальной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tbl>
      <w:tblPr>
        <w:tblStyle w:val="930"/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5132"/>
        <w:gridCol w:w="7696"/>
        <w:gridCol w:w="1840"/>
      </w:tblGrid>
      <w:tr>
        <w:tblPrEx/>
        <w:trPr>
          <w:trHeight w:val="669"/>
          <w:tblHeader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Задачи структурного элемента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с показателями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47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782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Направление (подпрограмма) «Благоустройство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782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 процессных мероприятий «Реализация мероприятий по благоустройству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673" w:type="pct"/>
            <w:vAlign w:val="center"/>
            <w:textDirection w:val="lrTb"/>
            <w:noWrap/>
          </w:tcPr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Ответственный за реализацию: 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3108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реализации 2025-2030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textDirection w:val="lrTb"/>
            <w:noWrap/>
          </w:tcPr>
          <w:p>
            <w:pPr>
              <w:ind w:firstLine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vAlign w:val="center"/>
            <w:textDirection w:val="lrTb"/>
            <w:noWrap/>
          </w:tcPr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2030 году планируется увеличение доли отдыхающих в местах отдыха за счет проведения комплекса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направленных на обеспечение привлекательности сельского поселения для комфортного проживания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отдыхающих в местах отдыха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afterAutospacing="0" w:line="240" w:lineRule="auto"/>
        <w:tabs>
          <w:tab w:val="left" w:pos="9390" w:leader="none"/>
        </w:tabs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5. Финансовое обеспечение муниципальной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tbl>
      <w:tblPr>
        <w:tblStyle w:val="930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275"/>
        <w:gridCol w:w="1134"/>
        <w:gridCol w:w="850"/>
        <w:gridCol w:w="850"/>
        <w:gridCol w:w="850"/>
        <w:gridCol w:w="850"/>
        <w:gridCol w:w="1228"/>
      </w:tblGrid>
      <w:tr>
        <w:tblPrEx/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источник финансового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6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W w:w="1275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228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2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708"/>
        </w:trPr>
        <w:tc>
          <w:tcPr>
            <w:tcW w:w="5981" w:type="dxa"/>
            <w:textDirection w:val="lrTb"/>
            <w:noWrap/>
          </w:tcPr>
          <w:p>
            <w:pPr>
              <w:ind w:firstLine="0"/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Муниципальная программа 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Устойчивое развитие сельских территорий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(всего),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126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275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8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9275,2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73"/>
        </w:trPr>
        <w:tc>
          <w:tcPr>
            <w:tcW w:w="5981" w:type="dxa"/>
            <w:textDirection w:val="lrTb"/>
            <w:noWrap/>
          </w:tcPr>
          <w:p>
            <w:pPr>
              <w:ind w:left="567"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126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275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8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126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275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8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Merge w:val="restart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стный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9275,2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tcW w:w="5981" w:type="dxa"/>
            <w:textDirection w:val="lrTb"/>
            <w:noWrap/>
          </w:tcPr>
          <w:p>
            <w:pPr>
              <w:ind w:left="567"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вне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275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8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2"/>
                <w:sz w:val="24"/>
                <w:szCs w:val="24"/>
                <w:highlight w:val="white"/>
              </w:rPr>
              <w:t xml:space="preserve">Объем налоговых расходов, предусмотренных в рамках муниципальной программы (справочно)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Реализация мероприятий по благоустройству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(всего),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9275,2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left="567"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9275,2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left="567"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 вне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. Паспорт комплекса процессных мероприятий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«Реализация мероприятий по благоустройству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Кочегуренского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tbl>
      <w:tblPr>
        <w:tblStyle w:val="930"/>
        <w:tblW w:w="5000" w:type="pct"/>
        <w:jc w:val="center"/>
        <w:tblInd w:w="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5"/>
        <w:gridCol w:w="7301"/>
      </w:tblGrid>
      <w:tr>
        <w:tblPrEx/>
        <w:trPr>
          <w:jc w:val="center"/>
          <w:trHeight w:val="516"/>
        </w:trPr>
        <w:tc>
          <w:tcPr>
            <w:tcW w:w="2504" w:type="pct"/>
            <w:vAlign w:val="center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W w:w="2496" w:type="pct"/>
            <w:vAlign w:val="center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«Чернянский район» Белгородской области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tcW w:w="2504" w:type="pct"/>
            <w:vAlign w:val="center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Связь с муниципальной программой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W w:w="2496" w:type="pct"/>
            <w:vAlign w:val="center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2. Показатели комплекса процессных мероприятий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val="en-US"/>
        </w:rPr>
      </w:r>
      <w:r>
        <w:rPr>
          <w:rFonts w:ascii="Times New Roman" w:hAnsi="Times New Roman" w:eastAsia="Times New Roman" w:cs="Times New Roman"/>
          <w:lang w:val="en-US"/>
        </w:rPr>
      </w:r>
      <w:r>
        <w:rPr>
          <w:rFonts w:ascii="Times New Roman" w:hAnsi="Times New Roman" w:cs="Times New Roman"/>
        </w:rPr>
      </w:r>
    </w:p>
    <w:tbl>
      <w:tblPr>
        <w:tblW w:w="52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2660"/>
        <w:gridCol w:w="1186"/>
        <w:gridCol w:w="1244"/>
        <w:gridCol w:w="1655"/>
        <w:gridCol w:w="1"/>
        <w:gridCol w:w="708"/>
        <w:gridCol w:w="568"/>
        <w:gridCol w:w="709"/>
        <w:gridCol w:w="567"/>
        <w:gridCol w:w="567"/>
        <w:gridCol w:w="567"/>
        <w:gridCol w:w="820"/>
        <w:gridCol w:w="737"/>
        <w:gridCol w:w="2695"/>
      </w:tblGrid>
      <w:tr>
        <w:tblPrEx/>
        <w:trPr>
          <w:tblHeader/>
        </w:trPr>
        <w:tc>
          <w:tcPr>
            <w:shd w:val="clear" w:color="ffffff" w:fill="ffffff"/>
            <w:tcW w:w="65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266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24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65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6"/>
            <w:shd w:val="clear" w:color="ffffff" w:fill="ffffff"/>
            <w:tcW w:w="39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269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за достижение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blHeader/>
        </w:trPr>
        <w:tc>
          <w:tcPr>
            <w:shd w:val="clear" w:color="ffffff" w:fill="ffffff"/>
            <w:tcW w:w="65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6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6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44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65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3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2695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5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266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18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2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65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56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3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269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5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10"/>
            <w:shd w:val="clear" w:color="ffffff" w:fill="ffffff"/>
            <w:tcBorders>
              <w:right w:val="single" w:color="000000" w:sz="4" w:space="0"/>
            </w:tcBorders>
            <w:tcW w:w="986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</w:tcBorders>
            <w:tcW w:w="343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5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6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Доля отдыхающих в местах отдыха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8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2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КМП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65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56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3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269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eastAsia="Times New Roman" w:cs="Times New Roman"/>
          <w:b/>
          <w:bCs/>
          <w:sz w:val="20"/>
        </w:rPr>
      </w:r>
      <w:r>
        <w:rPr>
          <w:rFonts w:ascii="Times New Roman" w:hAnsi="Times New Roman" w:eastAsia="Times New Roman" w:cs="Times New Roman"/>
          <w:b/>
          <w:bCs/>
          <w:sz w:val="20"/>
        </w:rPr>
      </w:r>
      <w:r>
        <w:rPr>
          <w:rFonts w:ascii="Times New Roman" w:hAnsi="Times New Roman" w:cs="Times New Roman"/>
          <w:b/>
          <w:bCs/>
          <w:sz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3. Помесячный план достижения показателей комплекса процессных мероприятий в 2025 году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517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563"/>
      </w:tblGrid>
      <w:tr>
        <w:tblPrEx/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ОКЕИ)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11"/>
            <w:shd w:val="clear" w:color="ffffff" w:fill="ffffff"/>
            <w:tcW w:w="75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56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 конец 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458"/>
          <w:tblHeader/>
        </w:trPr>
        <w:tc>
          <w:tcPr>
            <w:shd w:val="clear" w:color="ffffff" w:fill="ffffff"/>
            <w:tcW w:w="62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янв.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сен.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56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56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Borders>
              <w:top w:val="single" w:color="000000" w:sz="4" w:space="0"/>
            </w:tcBorders>
            <w:tcW w:w="6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15"/>
            <w:shd w:val="clear" w:color="ffffff" w:fill="ffffff"/>
            <w:tcW w:w="14683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272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Доля отдыхающих в местах отдыха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41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КПМ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44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1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71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6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156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776"/>
        <w:tblW w:w="15332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4597"/>
        <w:gridCol w:w="1737"/>
        <w:gridCol w:w="1168"/>
        <w:gridCol w:w="933"/>
        <w:gridCol w:w="557"/>
        <w:gridCol w:w="799"/>
        <w:gridCol w:w="618"/>
        <w:gridCol w:w="117"/>
        <w:gridCol w:w="592"/>
        <w:gridCol w:w="556"/>
        <w:gridCol w:w="578"/>
        <w:gridCol w:w="776"/>
        <w:gridCol w:w="1752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" w:type="dxa"/>
            <w:vAlign w:val="center"/>
            <w:vMerge w:val="restart"/>
            <w:textDirection w:val="lrTb"/>
            <w:noWrap/>
          </w:tcPr>
          <w:p>
            <w:pPr>
              <w:ind w:left="15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9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7" w:type="dxa"/>
            <w:vAlign w:val="center"/>
            <w:vMerge w:val="restart"/>
            <w:textDirection w:val="lrTb"/>
            <w:noWrap/>
          </w:tcPr>
          <w:p>
            <w:pPr>
              <w:ind w:left="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Значения мероприятия (результата),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5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9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3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9" w:type="dxa"/>
            <w:vAlign w:val="center"/>
            <w:textDirection w:val="lrTb"/>
            <w:noWrap/>
          </w:tcPr>
          <w:p>
            <w:pPr>
              <w:ind w:left="4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ind w:left="41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left="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7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52" w:type="dxa"/>
            <w:vMerge w:val="continue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ind w:left="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Align w:val="center"/>
            <w:textDirection w:val="lrTb"/>
            <w:noWrap/>
          </w:tcPr>
          <w:p>
            <w:pPr>
              <w:ind w:left="44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vAlign w:val="center"/>
            <w:textDirection w:val="lrTb"/>
            <w:noWrap/>
          </w:tcPr>
          <w:p>
            <w:pPr>
              <w:ind w:left="10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/>
          </w:tcPr>
          <w:p>
            <w:pPr>
              <w:ind w:left="4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center"/>
            <w:textDirection w:val="lrTb"/>
            <w:noWrap/>
          </w:tcPr>
          <w:p>
            <w:pPr>
              <w:ind w:left="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vAlign w:val="center"/>
            <w:textDirection w:val="lrTb"/>
            <w:noWrap/>
          </w:tcPr>
          <w:p>
            <w:pPr>
              <w:ind w:left="82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Align w:val="center"/>
            <w:textDirection w:val="lrTb"/>
            <w:noWrap/>
          </w:tcPr>
          <w:p>
            <w:pPr>
              <w:ind w:left="4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ind w:left="4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left="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vAlign w:val="center"/>
            <w:textDirection w:val="lrTb"/>
            <w:noWrap/>
          </w:tcPr>
          <w:p>
            <w:pPr>
              <w:ind w:left="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4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ind w:left="4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Align w:val="center"/>
            <w:textDirection w:val="lrTb"/>
            <w:noWrap/>
          </w:tcPr>
          <w:p>
            <w:pPr>
              <w:ind w:left="41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Осуществление текущей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/>
          </w:tcPr>
          <w:p>
            <w:pPr>
              <w:ind w:left="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/>
          </w:tcPr>
          <w:p>
            <w:pPr>
              <w:ind w:left="108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     9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/>
          </w:tcPr>
          <w:p>
            <w:pPr>
              <w:ind w:left="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5" w:type="dxa"/>
            <w:textDirection w:val="lrTb"/>
            <w:noWrap/>
          </w:tcPr>
          <w:p>
            <w:pPr>
              <w:ind w:left="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textDirection w:val="lrTb"/>
            <w:noWrap/>
          </w:tcPr>
          <w:p>
            <w:pPr>
              <w:ind w:left="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textDirection w:val="lrTb"/>
            <w:noWrap/>
          </w:tcPr>
          <w:p>
            <w:pPr>
              <w:ind w:left="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" w:type="dxa"/>
            <w:textDirection w:val="lrTb"/>
            <w:noWrap/>
          </w:tcPr>
          <w:p>
            <w:pPr>
              <w:ind w:left="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/>
          </w:tcPr>
          <w:p>
            <w:pPr>
              <w:ind w:left="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/>
          </w:tcPr>
          <w:p>
            <w:pPr>
              <w:ind w:left="108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отдыхающих в местах отдыха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ind w:left="4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0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мероприятия осуществляется комплекс мероприятий направленных на обеспечение привлекательности сельского поселения для комфортного проживания населения. Данный комплекс 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роприятий  включает в себя ремонт воинских захоронений, содержание 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5. Финансовое обеспечение комплекса процессных мероприятий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eastAsia="Times New Roman" w:cs="Times New Roman"/>
          <w:b/>
          <w:bCs/>
          <w:sz w:val="20"/>
        </w:rPr>
      </w:r>
      <w:r>
        <w:rPr>
          <w:rFonts w:ascii="Times New Roman" w:hAnsi="Times New Roman" w:eastAsia="Times New Roman" w:cs="Times New Roman"/>
          <w:b/>
          <w:bCs/>
          <w:sz w:val="20"/>
        </w:rPr>
      </w:r>
      <w:r>
        <w:rPr>
          <w:rFonts w:ascii="Times New Roman" w:hAnsi="Times New Roman" w:cs="Times New Roman"/>
          <w:b/>
          <w:bCs/>
          <w:sz w:val="20"/>
        </w:rPr>
      </w:r>
    </w:p>
    <w:tbl>
      <w:tblPr>
        <w:tblStyle w:val="930"/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5"/>
        <w:gridCol w:w="1417"/>
        <w:gridCol w:w="850"/>
        <w:gridCol w:w="850"/>
        <w:gridCol w:w="850"/>
        <w:gridCol w:w="850"/>
        <w:gridCol w:w="850"/>
        <w:gridCol w:w="850"/>
        <w:gridCol w:w="852"/>
      </w:tblGrid>
      <w:tr>
        <w:tblPrEx/>
        <w:trPr>
          <w:trHeight w:val="476"/>
          <w:tblHeader/>
        </w:trPr>
        <w:tc>
          <w:tcPr>
            <w:tcW w:w="7965" w:type="dxa"/>
            <w:vAlign w:val="center"/>
            <w:vMerge w:val="restart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595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7965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7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796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7965" w:type="dxa"/>
            <w:vAlign w:val="center"/>
            <w:textDirection w:val="lrTb"/>
            <w:noWrap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2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Реализация мероприятий по благоустройству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bCs/>
                <w:spacing w:val="-2"/>
                <w:sz w:val="24"/>
                <w:szCs w:val="24"/>
              </w:rPr>
              <w:t xml:space="preserve">» всего,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9275,2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7965" w:type="dxa"/>
            <w:textDirection w:val="lrTb"/>
            <w:noWrap/>
          </w:tcPr>
          <w:p>
            <w:pPr>
              <w:ind w:left="567"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Borders>
              <w:bottom w:val="single" w:color="000000" w:sz="4" w:space="0"/>
            </w:tcBorders>
            <w:tcW w:w="7965" w:type="dxa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7965" w:type="dxa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стный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9275,2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7965" w:type="dxa"/>
            <w:textDirection w:val="lrTb"/>
            <w:noWrap/>
          </w:tcPr>
          <w:p>
            <w:pPr>
              <w:ind w:left="567"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вне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7965" w:type="dxa"/>
            <w:vAlign w:val="center"/>
            <w:textDirection w:val="lrTb"/>
            <w:noWrap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всего, в том числе: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9275,2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7965" w:type="dxa"/>
            <w:vAlign w:val="center"/>
            <w:textDirection w:val="lrTb"/>
            <w:noWrap/>
          </w:tcPr>
          <w:p>
            <w:pPr>
              <w:ind w:left="567" w:firstLine="0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7965" w:type="dxa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7965" w:type="dxa"/>
            <w:textDirection w:val="lrTb"/>
            <w:noWrap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стный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9275,2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7965" w:type="dxa"/>
            <w:textDirection w:val="lrTb"/>
            <w:noWrap/>
          </w:tcPr>
          <w:p>
            <w:pPr>
              <w:ind w:left="567" w:firstLine="0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- вне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7965" w:type="dxa"/>
            <w:textDirection w:val="lrTb"/>
            <w:noWrap/>
          </w:tcPr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Нераспределенный резерв (областной бюджет)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6. План реализации комплекса процессных мероприятий</w:t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776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2978"/>
      </w:tblGrid>
      <w:tr>
        <w:tblPrEx/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</w:r>
          </w:p>
          <w:p>
            <w:pPr>
              <w:ind w:left="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/>
          </w:tcPr>
          <w:p>
            <w:pPr>
              <w:ind w:left="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</w:r>
          </w:p>
          <w:p>
            <w:pPr>
              <w:ind w:left="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ind w:left="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 наступления контрольной точки (день, месяц)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</w:r>
          </w:p>
          <w:p>
            <w:pPr>
              <w:pStyle w:val="932"/>
              <w:ind w:left="173" w:right="15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ind w:left="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ind w:left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sz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Мероприятие (результат)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Соловьева Е.Н – главный специалист – управляющая делами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trike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Cs/>
                <w:strike/>
                <w:sz w:val="20"/>
              </w:rPr>
            </w:r>
          </w:p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1.1.К.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101" w:leader="none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Контрольная точка «Проведено обустройство контейнерных площадок и регулярный вывоз ТКО»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10.01.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Соловьева Е.Н –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лавный специалист – управляющая делами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Акт работ, накладная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101" w:leader="none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Контрольная точка «Проведены событийные мероприятия на территории сельского поселения»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15.02.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Соловьева Е.Н –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лавный специалист – управляющая делами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Распоряжения администрации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Контрольная точка «Проведен ремонт и благоустройство воинских захоронений»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10.04.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Соловьева Е.Н –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лавный специалист – управляющая делами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Акт работ, накладная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Контрольная точка «Благоустройство и содержание в надлежащем состоянии территории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кладбищ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Кочегуры.,Проточное,Сухая Ольшанка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25.04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Соловьева Е.Н –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лавный специалист – управляющая делами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Акт работ, накладная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1.1.К.5.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Контрольная точка «Содержание в надлежащем состоянии парков, скверов, детских площадок, мест массового отдыха жителей»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01.05.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Соловьева Е.Н –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лавный специалист – управляющая делами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Акт работ, накладная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1.1.К.6.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Контрольная точка «Озеленение территории сельского поселения»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01.06.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Соловьева Е.Н –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лавный специалист – управляющая делами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Акт работ, накладная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</w:r>
      <w:r>
        <w:rPr>
          <w:rFonts w:ascii="Times New Roman" w:hAnsi="Times New Roman" w:cs="Times New Roman"/>
          <w:sz w:val="22"/>
          <w:szCs w:val="22"/>
          <w:highlight w:val="yellow"/>
        </w:rPr>
      </w:r>
    </w:p>
    <w:p>
      <w:pPr>
        <w:pStyle w:val="719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7. Сведения о порядке сбора информации и методике расчета показателя муниципальной программы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719"/>
        <w:jc w:val="center"/>
        <w:spacing w:before="0" w:after="0" w:afterAutospacing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«Устойчивое развитие сельских территорий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Кочегуренского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Чернянского района Белгородской области»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spacing w:after="0" w:afterAutospacing="0" w:line="240" w:lineRule="auto"/>
      </w:pPr>
      <w:r/>
      <w:r/>
    </w:p>
    <w:tbl>
      <w:tblPr>
        <w:tblStyle w:val="776"/>
        <w:tblW w:w="15415" w:type="dxa"/>
        <w:tblLayout w:type="fixed"/>
        <w:tblLook w:val="04A0" w:firstRow="1" w:lastRow="0" w:firstColumn="1" w:lastColumn="0" w:noHBand="0" w:noVBand="1"/>
      </w:tblPr>
      <w:tblGrid>
        <w:gridCol w:w="721"/>
        <w:gridCol w:w="4466"/>
        <w:gridCol w:w="1649"/>
        <w:gridCol w:w="1446"/>
        <w:gridCol w:w="340"/>
        <w:gridCol w:w="1832"/>
        <w:gridCol w:w="1276"/>
        <w:gridCol w:w="1984"/>
        <w:gridCol w:w="1701"/>
      </w:tblGrid>
      <w:tr>
        <w:tblPrEx/>
        <w:trPr>
          <w:trHeight w:val="37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textDirection w:val="lrTb"/>
            <w:noWrap/>
          </w:tcPr>
          <w:p>
            <w:pPr>
              <w:ind w:left="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6" w:type="dxa"/>
            <w:vAlign w:val="center"/>
            <w:textDirection w:val="lrTb"/>
            <w:noWrap/>
          </w:tcPr>
          <w:p>
            <w:pPr>
              <w:ind w:left="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(по ОКЕИ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vAlign w:val="center"/>
            <w:textDirection w:val="lrTb"/>
            <w:noWrap/>
          </w:tcPr>
          <w:p>
            <w:pPr>
              <w:ind w:left="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Временные характеристики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32"/>
              <w:ind w:right="15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Алгоритм формирования (формула) и расшифровка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Метод сбора информации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Ответственный за сбор данных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 показателю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32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32"/>
              <w:ind w:right="158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Срок предоставления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6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textDirection w:val="lrTb"/>
            <w:noWrap/>
          </w:tcPr>
          <w:p>
            <w:pPr>
              <w:ind w:left="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6" w:type="dxa"/>
            <w:textDirection w:val="lrTb"/>
            <w:noWrap/>
          </w:tcPr>
          <w:p>
            <w:pPr>
              <w:ind w:left="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/>
          </w:tcPr>
          <w:p>
            <w:pPr>
              <w:ind w:left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ind w:left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104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textDirection w:val="lrTb"/>
            <w:noWrap/>
          </w:tcPr>
          <w:p>
            <w:pPr>
              <w:ind w:left="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6" w:type="dxa"/>
            <w:textDirection w:val="lrTb"/>
            <w:noWrap/>
          </w:tcPr>
          <w:p>
            <w:pPr>
              <w:ind w:left="7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Доля отдыхающих в местах отдыха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/>
          </w:tcPr>
          <w:p>
            <w:pPr>
              <w:ind w:left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Внутренняя отчетность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Соловьева Е.Н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специалист – управляющая делами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Кочегуренского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ind w:left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20.02.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left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(каждого года)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yellow"/>
        </w:rPr>
      </w:r>
      <w:r>
        <w:rPr>
          <w:rFonts w:ascii="Times New Roman" w:hAnsi="Times New Roman" w:cs="Times New Roman"/>
          <w:sz w:val="22"/>
          <w:szCs w:val="22"/>
          <w:highlight w:val="yellow"/>
        </w:rPr>
      </w:r>
      <w:r>
        <w:rPr>
          <w:rFonts w:ascii="Times New Roman" w:hAnsi="Times New Roman" w:cs="Times New Roman"/>
          <w:sz w:val="22"/>
          <w:szCs w:val="22"/>
          <w:highlight w:val="yellow"/>
        </w:rPr>
      </w:r>
    </w:p>
    <w:p>
      <w:pPr>
        <w:jc w:val="right"/>
        <w:spacing w:after="0" w:afterAutospacing="0" w:line="240" w:lineRule="auto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</w:p>
    <w:sectPr>
      <w:footnotePr/>
      <w:endnotePr/>
      <w:type w:val="nextPage"/>
      <w:pgSz w:w="16838" w:h="11906" w:orient="landscape"/>
      <w:pgMar w:top="1134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68" w:hanging="360"/>
      </w:pPr>
      <w:rPr>
        <w:rFonts w:hint="default" w:ascii="Wingdings" w:hAnsi="Wingdings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68" w:hanging="360"/>
      </w:pPr>
      <w:rPr>
        <w:rFonts w:hint="default" w:ascii="Wingdings" w:hAnsi="Wingdings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18"/>
  </w:num>
  <w:num w:numId="16">
    <w:abstractNumId w:val="2"/>
  </w:num>
  <w:num w:numId="17">
    <w:abstractNumId w:val="17"/>
  </w:num>
  <w:num w:numId="18">
    <w:abstractNumId w:val="5"/>
  </w:num>
  <w:num w:numId="19">
    <w:abstractNumId w:val="6"/>
  </w:num>
  <w:num w:numId="20">
    <w:abstractNumId w:val="19"/>
  </w:num>
  <w:num w:numId="21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8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2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5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6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730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719">
    <w:name w:val="Heading 2"/>
    <w:basedOn w:val="717"/>
    <w:next w:val="717"/>
    <w:link w:val="731"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20">
    <w:name w:val="Heading 3"/>
    <w:basedOn w:val="717"/>
    <w:next w:val="717"/>
    <w:link w:val="732"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basedOn w:val="727"/>
    <w:link w:val="71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731" w:customStyle="1">
    <w:name w:val="Заголовок 2 Знак"/>
    <w:basedOn w:val="727"/>
    <w:link w:val="71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732" w:customStyle="1">
    <w:name w:val="Заголовок 3 Знак"/>
    <w:basedOn w:val="727"/>
    <w:link w:val="72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733" w:customStyle="1">
    <w:name w:val="Заголовок 4 Знак"/>
    <w:basedOn w:val="727"/>
    <w:link w:val="721"/>
    <w:uiPriority w:val="9"/>
    <w:rPr>
      <w:rFonts w:eastAsiaTheme="majorEastAsia" w:cstheme="majorBidi"/>
      <w:i/>
      <w:iCs/>
      <w:color w:val="2f5496" w:themeColor="accent1" w:themeShade="BF"/>
    </w:rPr>
  </w:style>
  <w:style w:type="character" w:styleId="734" w:customStyle="1">
    <w:name w:val="Заголовок 5 Знак"/>
    <w:basedOn w:val="727"/>
    <w:link w:val="722"/>
    <w:uiPriority w:val="9"/>
    <w:rPr>
      <w:rFonts w:eastAsiaTheme="majorEastAsia" w:cstheme="majorBidi"/>
      <w:color w:val="2f5496" w:themeColor="accent1" w:themeShade="BF"/>
    </w:rPr>
  </w:style>
  <w:style w:type="character" w:styleId="735" w:customStyle="1">
    <w:name w:val="Заголовок 6 Знак"/>
    <w:basedOn w:val="727"/>
    <w:link w:val="723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736" w:customStyle="1">
    <w:name w:val="Заголовок 7 Знак"/>
    <w:basedOn w:val="727"/>
    <w:link w:val="724"/>
    <w:uiPriority w:val="9"/>
    <w:rPr>
      <w:rFonts w:eastAsiaTheme="majorEastAsia" w:cstheme="majorBidi"/>
      <w:color w:val="595959" w:themeColor="text1" w:themeTint="A6"/>
    </w:rPr>
  </w:style>
  <w:style w:type="character" w:styleId="737" w:customStyle="1">
    <w:name w:val="Заголовок 8 Знак"/>
    <w:basedOn w:val="727"/>
    <w:link w:val="725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738" w:customStyle="1">
    <w:name w:val="Заголовок 9 Знак"/>
    <w:basedOn w:val="727"/>
    <w:link w:val="726"/>
    <w:uiPriority w:val="9"/>
    <w:rPr>
      <w:rFonts w:eastAsiaTheme="majorEastAsia" w:cstheme="majorBidi"/>
      <w:color w:val="272727" w:themeColor="text1" w:themeTint="D8"/>
    </w:rPr>
  </w:style>
  <w:style w:type="paragraph" w:styleId="739">
    <w:name w:val="Title"/>
    <w:basedOn w:val="717"/>
    <w:next w:val="717"/>
    <w:link w:val="7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40" w:customStyle="1">
    <w:name w:val="Название Знак"/>
    <w:basedOn w:val="727"/>
    <w:link w:val="7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741">
    <w:name w:val="Subtitle"/>
    <w:basedOn w:val="717"/>
    <w:next w:val="717"/>
    <w:link w:val="7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742" w:customStyle="1">
    <w:name w:val="Подзаголовок Знак"/>
    <w:basedOn w:val="727"/>
    <w:link w:val="7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743">
    <w:name w:val="Quote"/>
    <w:basedOn w:val="717"/>
    <w:next w:val="717"/>
    <w:link w:val="7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744" w:customStyle="1">
    <w:name w:val="Цитата 2 Знак"/>
    <w:basedOn w:val="727"/>
    <w:link w:val="743"/>
    <w:uiPriority w:val="29"/>
    <w:rPr>
      <w:i/>
      <w:iCs/>
      <w:color w:val="404040" w:themeColor="text1" w:themeTint="BF"/>
    </w:rPr>
  </w:style>
  <w:style w:type="paragraph" w:styleId="745">
    <w:name w:val="List Paragraph"/>
    <w:basedOn w:val="717"/>
    <w:uiPriority w:val="34"/>
    <w:qFormat/>
    <w:pPr>
      <w:contextualSpacing/>
      <w:ind w:left="720"/>
    </w:pPr>
  </w:style>
  <w:style w:type="character" w:styleId="746">
    <w:name w:val="Intense Emphasis"/>
    <w:basedOn w:val="727"/>
    <w:uiPriority w:val="21"/>
    <w:qFormat/>
    <w:rPr>
      <w:i/>
      <w:iCs/>
      <w:color w:val="2f5496" w:themeColor="accent1" w:themeShade="BF"/>
    </w:rPr>
  </w:style>
  <w:style w:type="paragraph" w:styleId="747">
    <w:name w:val="Intense Quote"/>
    <w:basedOn w:val="717"/>
    <w:next w:val="717"/>
    <w:link w:val="74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748" w:customStyle="1">
    <w:name w:val="Выделенная цитата Знак"/>
    <w:basedOn w:val="727"/>
    <w:link w:val="747"/>
    <w:uiPriority w:val="30"/>
    <w:rPr>
      <w:i/>
      <w:iCs/>
      <w:color w:val="2f5496" w:themeColor="accent1" w:themeShade="BF"/>
    </w:rPr>
  </w:style>
  <w:style w:type="character" w:styleId="749">
    <w:name w:val="Intense Reference"/>
    <w:basedOn w:val="727"/>
    <w:uiPriority w:val="32"/>
    <w:qFormat/>
    <w:rPr>
      <w:b/>
      <w:bCs/>
      <w:smallCaps/>
      <w:color w:val="2f5496" w:themeColor="accent1" w:themeShade="BF"/>
      <w:spacing w:val="5"/>
    </w:rPr>
  </w:style>
  <w:style w:type="numbering" w:styleId="750" w:customStyle="1">
    <w:name w:val="Нет списка1"/>
    <w:next w:val="729"/>
    <w:uiPriority w:val="99"/>
    <w:semiHidden/>
    <w:unhideWhenUsed/>
  </w:style>
  <w:style w:type="character" w:styleId="75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Heading 2 Char"/>
    <w:uiPriority w:val="9"/>
    <w:rPr>
      <w:rFonts w:ascii="Arial" w:hAnsi="Arial" w:eastAsia="Arial" w:cs="Arial"/>
      <w:sz w:val="34"/>
    </w:rPr>
  </w:style>
  <w:style w:type="character" w:styleId="75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60" w:customStyle="1">
    <w:name w:val="Title Char"/>
    <w:uiPriority w:val="10"/>
    <w:rPr>
      <w:sz w:val="48"/>
      <w:szCs w:val="48"/>
    </w:rPr>
  </w:style>
  <w:style w:type="character" w:styleId="761" w:customStyle="1">
    <w:name w:val="Subtitle Char"/>
    <w:uiPriority w:val="11"/>
    <w:rPr>
      <w:sz w:val="24"/>
      <w:szCs w:val="24"/>
    </w:rPr>
  </w:style>
  <w:style w:type="character" w:styleId="762" w:customStyle="1">
    <w:name w:val="Quote Char"/>
    <w:uiPriority w:val="29"/>
    <w:rPr>
      <w:i/>
    </w:rPr>
  </w:style>
  <w:style w:type="character" w:styleId="763" w:customStyle="1">
    <w:name w:val="Intense Quote Char"/>
    <w:uiPriority w:val="30"/>
    <w:rPr>
      <w:i/>
    </w:rPr>
  </w:style>
  <w:style w:type="character" w:styleId="764" w:customStyle="1">
    <w:name w:val="Footnote Text Char"/>
    <w:uiPriority w:val="99"/>
    <w:rPr>
      <w:sz w:val="18"/>
    </w:rPr>
  </w:style>
  <w:style w:type="character" w:styleId="765" w:customStyle="1">
    <w:name w:val="Endnote Text Char"/>
    <w:uiPriority w:val="99"/>
    <w:rPr>
      <w:sz w:val="20"/>
    </w:rPr>
  </w:style>
  <w:style w:type="character" w:styleId="766" w:customStyle="1">
    <w:name w:val="Заголовок 3 Знак1"/>
    <w:rPr>
      <w:sz w:val="28"/>
    </w:rPr>
  </w:style>
  <w:style w:type="paragraph" w:styleId="76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768">
    <w:name w:val="Header"/>
    <w:basedOn w:val="717"/>
    <w:link w:val="76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69" w:customStyle="1">
    <w:name w:val="Верхний колонтитул Знак"/>
    <w:basedOn w:val="727"/>
    <w:link w:val="768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70" w:customStyle="1">
    <w:name w:val="Header Char"/>
    <w:uiPriority w:val="99"/>
  </w:style>
  <w:style w:type="paragraph" w:styleId="771">
    <w:name w:val="Footer"/>
    <w:basedOn w:val="717"/>
    <w:link w:val="77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72" w:customStyle="1">
    <w:name w:val="Нижний колонтитул Знак"/>
    <w:basedOn w:val="727"/>
    <w:link w:val="771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73" w:customStyle="1">
    <w:name w:val="Footer Char"/>
    <w:uiPriority w:val="99"/>
  </w:style>
  <w:style w:type="paragraph" w:styleId="774">
    <w:name w:val="Caption"/>
    <w:basedOn w:val="717"/>
    <w:next w:val="717"/>
    <w:uiPriority w:val="35"/>
    <w:semiHidden/>
    <w:unhideWhenUsed/>
    <w:qFormat/>
    <w:pPr>
      <w:spacing w:after="0" w:line="276" w:lineRule="auto"/>
    </w:pPr>
    <w:rPr>
      <w:rFonts w:ascii="Times New Roman" w:hAnsi="Times New Roman" w:eastAsia="Times New Roman" w:cs="Times New Roman"/>
      <w:b/>
      <w:bCs/>
      <w:color w:val="4f81bd"/>
      <w:sz w:val="18"/>
      <w:szCs w:val="18"/>
      <w:lang w:eastAsia="ru-RU"/>
    </w:rPr>
  </w:style>
  <w:style w:type="character" w:styleId="775" w:customStyle="1">
    <w:name w:val="Caption Char"/>
    <w:uiPriority w:val="99"/>
  </w:style>
  <w:style w:type="table" w:styleId="776">
    <w:name w:val="Table Grid"/>
    <w:basedOn w:val="72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Таблица простая 1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Таблица простая 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Таблица простая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Таблица простая 4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Таблица простая 5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1 светл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2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Таблица-сетка 4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Таблица-сетка 5 тем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Таблица-сетка 6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Таблица-сетка 7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1 светл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2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Список-таблица 4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Список-таблица 5 тем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Список-таблица 6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Список-таблица 7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1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2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3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4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5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6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1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2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3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4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5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6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2">
    <w:name w:val="Hyperlink"/>
    <w:rPr>
      <w:color w:val="0000ff"/>
      <w:u w:val="single"/>
    </w:rPr>
  </w:style>
  <w:style w:type="paragraph" w:styleId="903">
    <w:name w:val="footnote text"/>
    <w:basedOn w:val="717"/>
    <w:link w:val="904"/>
    <w:uiPriority w:val="99"/>
    <w:semiHidden/>
    <w:unhideWhenUsed/>
    <w:pPr>
      <w:spacing w:after="4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904" w:customStyle="1">
    <w:name w:val="Текст сноски Знак"/>
    <w:basedOn w:val="727"/>
    <w:link w:val="903"/>
    <w:uiPriority w:val="99"/>
    <w:semiHidden/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17"/>
    <w:link w:val="907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7" w:customStyle="1">
    <w:name w:val="Текст концевой сноски Знак"/>
    <w:basedOn w:val="727"/>
    <w:link w:val="90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17"/>
    <w:next w:val="717"/>
    <w:uiPriority w:val="39"/>
    <w:unhideWhenUsed/>
    <w:pPr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0">
    <w:name w:val="toc 2"/>
    <w:basedOn w:val="717"/>
    <w:next w:val="717"/>
    <w:uiPriority w:val="39"/>
    <w:unhideWhenUsed/>
    <w:pPr>
      <w:ind w:left="283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1">
    <w:name w:val="toc 3"/>
    <w:basedOn w:val="717"/>
    <w:next w:val="717"/>
    <w:uiPriority w:val="39"/>
    <w:unhideWhenUsed/>
    <w:pPr>
      <w:ind w:left="567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2">
    <w:name w:val="toc 4"/>
    <w:basedOn w:val="717"/>
    <w:next w:val="717"/>
    <w:uiPriority w:val="39"/>
    <w:unhideWhenUsed/>
    <w:pPr>
      <w:ind w:left="850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3">
    <w:name w:val="toc 5"/>
    <w:basedOn w:val="717"/>
    <w:next w:val="717"/>
    <w:uiPriority w:val="39"/>
    <w:unhideWhenUsed/>
    <w:pPr>
      <w:ind w:left="1134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4">
    <w:name w:val="toc 6"/>
    <w:basedOn w:val="717"/>
    <w:next w:val="717"/>
    <w:uiPriority w:val="39"/>
    <w:unhideWhenUsed/>
    <w:pPr>
      <w:ind w:left="1417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5">
    <w:name w:val="toc 7"/>
    <w:basedOn w:val="717"/>
    <w:next w:val="717"/>
    <w:uiPriority w:val="39"/>
    <w:unhideWhenUsed/>
    <w:pPr>
      <w:ind w:left="1701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6">
    <w:name w:val="toc 8"/>
    <w:basedOn w:val="717"/>
    <w:next w:val="717"/>
    <w:uiPriority w:val="39"/>
    <w:unhideWhenUsed/>
    <w:pPr>
      <w:ind w:left="1984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7">
    <w:name w:val="toc 9"/>
    <w:basedOn w:val="717"/>
    <w:next w:val="717"/>
    <w:uiPriority w:val="39"/>
    <w:unhideWhenUsed/>
    <w:pPr>
      <w:ind w:left="2268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8">
    <w:name w:val="TOC Heading"/>
    <w:uiPriority w:val="39"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9">
    <w:name w:val="table of figures"/>
    <w:basedOn w:val="717"/>
    <w:next w:val="717"/>
    <w:uiPriority w:val="99"/>
    <w:unhideWhenUsed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0">
    <w:name w:val="Body Text Indent"/>
    <w:basedOn w:val="717"/>
    <w:link w:val="921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1" w:customStyle="1">
    <w:name w:val="Основной текст с отступом Знак"/>
    <w:basedOn w:val="727"/>
    <w:link w:val="92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2">
    <w:name w:val="Balloon Text"/>
    <w:basedOn w:val="717"/>
    <w:link w:val="923"/>
    <w:semiHidden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923" w:customStyle="1">
    <w:name w:val="Текст выноски Знак"/>
    <w:basedOn w:val="727"/>
    <w:link w:val="922"/>
    <w:semiHidden/>
    <w:rPr>
      <w:rFonts w:ascii="Tahoma" w:hAnsi="Tahoma" w:eastAsia="Times New Roman" w:cs="Times New Roman"/>
      <w:sz w:val="16"/>
      <w:szCs w:val="16"/>
      <w:lang w:eastAsia="ru-RU"/>
    </w:rPr>
  </w:style>
  <w:style w:type="paragraph" w:styleId="924" w:customStyle="1">
    <w:name w:val="Знак"/>
    <w:basedOn w:val="717"/>
    <w:pPr>
      <w:jc w:val="right"/>
      <w:spacing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925" w:customStyle="1">
    <w:name w:val="Основной текст_"/>
    <w:link w:val="927"/>
    <w:rPr>
      <w:sz w:val="28"/>
      <w:szCs w:val="28"/>
      <w:shd w:val="clear" w:color="auto" w:fill="ffffff"/>
    </w:rPr>
  </w:style>
  <w:style w:type="character" w:styleId="926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27" w:customStyle="1">
    <w:name w:val="Основной текст1"/>
    <w:basedOn w:val="717"/>
    <w:link w:val="925"/>
    <w:pPr>
      <w:ind w:firstLine="640"/>
      <w:jc w:val="both"/>
      <w:spacing w:before="780" w:after="0" w:line="322" w:lineRule="exact"/>
      <w:shd w:val="clear" w:color="auto" w:fill="ffffff"/>
      <w:widowControl w:val="off"/>
    </w:pPr>
    <w:rPr>
      <w:sz w:val="28"/>
      <w:szCs w:val="28"/>
    </w:rPr>
  </w:style>
  <w:style w:type="paragraph" w:styleId="928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929" w:customStyle="1">
    <w:name w:val="Сетка таблицы2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30" w:customStyle="1">
    <w:name w:val="Сетка таблицы1"/>
    <w:uiPriority w:val="39"/>
    <w:pPr>
      <w:ind w:firstLine="851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" w:cs="Times New Roman"/>
      <w:sz w:val="28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31" w:customStyle="1">
    <w:name w:val="Table Normal"/>
    <w:uiPriority w:val="2"/>
    <w:semiHidden/>
    <w:unhideWhenUsed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  <w:lang w:val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32" w:customStyle="1">
    <w:name w:val="Table Paragraph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</w:rPr>
  </w:style>
  <w:style w:type="table" w:styleId="933" w:customStyle="1">
    <w:name w:val="Сетка таблицы14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34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Calibri" w:cs="Times New Roman"/>
      <w:sz w:val="20"/>
      <w:szCs w:val="20"/>
    </w:rPr>
  </w:style>
  <w:style w:type="paragraph" w:styleId="935" w:customStyle="1">
    <w:name w:val="ConsPlusCell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936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" w:cs="Calibri"/>
      <w:b/>
      <w:lang w:eastAsia="ru-RU"/>
    </w:rPr>
  </w:style>
  <w:style w:type="paragraph" w:styleId="937" w:customStyle="1">
    <w:name w:val="Абзац списка2"/>
    <w:basedOn w:val="698"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kochegury-r31.gosweb.gosuslugi.ru" TargetMode="External"/><Relationship Id="rId11" Type="http://schemas.openxmlformats.org/officeDocument/2006/relationships/hyperlink" Target="https://login.consultant.ru/link/?req=doc&amp;base=LAW&amp;n=357927&amp;date=27.08.2024" TargetMode="External"/><Relationship Id="rId12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Ezd-uprd</dc:creator>
  <cp:revision>14</cp:revision>
  <dcterms:created xsi:type="dcterms:W3CDTF">2025-03-31T07:48:00Z</dcterms:created>
  <dcterms:modified xsi:type="dcterms:W3CDTF">2025-04-09T11:11:51Z</dcterms:modified>
</cp:coreProperties>
</file>